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76" w:rsidRPr="00587C6A" w:rsidRDefault="00B74D76" w:rsidP="00B74D76">
      <w:pPr>
        <w:ind w:firstLine="567"/>
        <w:jc w:val="both"/>
        <w:rPr>
          <w:b/>
          <w:sz w:val="26"/>
          <w:szCs w:val="26"/>
        </w:rPr>
      </w:pPr>
      <w:r w:rsidRPr="00587C6A">
        <w:rPr>
          <w:b/>
          <w:sz w:val="26"/>
          <w:szCs w:val="26"/>
        </w:rPr>
        <w:t>13. Cấp lại Giấy chứng nhận đăng ký đầu tư - Mức độ 3</w:t>
      </w:r>
    </w:p>
    <w:p w:rsidR="00B74D76" w:rsidRPr="00587C6A" w:rsidRDefault="00B74D76" w:rsidP="00B74D76">
      <w:pPr>
        <w:widowControl w:val="0"/>
        <w:spacing w:line="360" w:lineRule="exact"/>
        <w:ind w:firstLine="567"/>
        <w:jc w:val="both"/>
        <w:rPr>
          <w:b/>
          <w:sz w:val="26"/>
          <w:szCs w:val="26"/>
        </w:rPr>
      </w:pPr>
      <w:r w:rsidRPr="00587C6A">
        <w:rPr>
          <w:b/>
          <w:sz w:val="26"/>
          <w:szCs w:val="26"/>
        </w:rPr>
        <w:t>a) Trình tự thực hiện:</w:t>
      </w:r>
    </w:p>
    <w:p w:rsidR="00B74D76" w:rsidRPr="00587C6A" w:rsidRDefault="00B74D76" w:rsidP="00B74D76">
      <w:pPr>
        <w:widowControl w:val="0"/>
        <w:spacing w:line="360" w:lineRule="exact"/>
        <w:ind w:firstLine="567"/>
        <w:jc w:val="both"/>
        <w:rPr>
          <w:sz w:val="26"/>
          <w:szCs w:val="26"/>
        </w:rPr>
      </w:pPr>
      <w:r w:rsidRPr="00587C6A">
        <w:rPr>
          <w:sz w:val="26"/>
          <w:szCs w:val="26"/>
        </w:rPr>
        <w:t xml:space="preserve">- Bước 1: Nhà đầu tư nộp văn bản đề nghị cấp lại Giấy chứng nhận đăng ký đầu tư cho Sở Kế hoạch và Đầu tư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B74D76" w:rsidRPr="00587C6A" w:rsidRDefault="00B74D76" w:rsidP="00B74D76">
      <w:pPr>
        <w:widowControl w:val="0"/>
        <w:spacing w:line="360" w:lineRule="exact"/>
        <w:ind w:firstLine="567"/>
        <w:jc w:val="both"/>
        <w:rPr>
          <w:sz w:val="26"/>
          <w:szCs w:val="26"/>
        </w:rPr>
      </w:pPr>
      <w:r w:rsidRPr="00587C6A">
        <w:rPr>
          <w:sz w:val="26"/>
          <w:szCs w:val="26"/>
        </w:rPr>
        <w:t>- Bước 2: Sở Kế hoạch và Đầu tư cấp lại Giấy chứng nhận đăng ký đầu tư trong thời hạn 03 ngày làm việc kể từ ngày nhận được văn bản đề nghị của nhà đầu tư.</w:t>
      </w:r>
    </w:p>
    <w:p w:rsidR="00B74D76" w:rsidRPr="00587C6A" w:rsidRDefault="00B74D76" w:rsidP="00B74D76">
      <w:pPr>
        <w:widowControl w:val="0"/>
        <w:spacing w:line="360" w:lineRule="exact"/>
        <w:ind w:firstLine="567"/>
        <w:jc w:val="both"/>
        <w:rPr>
          <w:b/>
          <w:sz w:val="26"/>
          <w:szCs w:val="26"/>
        </w:rPr>
      </w:pPr>
      <w:r w:rsidRPr="00587C6A">
        <w:rPr>
          <w:b/>
          <w:sz w:val="26"/>
          <w:szCs w:val="26"/>
        </w:rPr>
        <w:t>b) Cách thức thực hiện:</w:t>
      </w:r>
    </w:p>
    <w:p w:rsidR="00B74D76" w:rsidRPr="00587C6A" w:rsidRDefault="00B74D76" w:rsidP="00B74D76">
      <w:pPr>
        <w:widowControl w:val="0"/>
        <w:spacing w:line="360" w:lineRule="exact"/>
        <w:ind w:firstLine="567"/>
        <w:jc w:val="both"/>
        <w:rPr>
          <w:sz w:val="26"/>
          <w:szCs w:val="26"/>
        </w:rPr>
      </w:pPr>
      <w:r w:rsidRPr="00587C6A">
        <w:rPr>
          <w:sz w:val="26"/>
          <w:szCs w:val="26"/>
        </w:rPr>
        <w:t>- Thông qua hệ thống bưu chính;</w:t>
      </w:r>
    </w:p>
    <w:p w:rsidR="00B74D76" w:rsidRPr="00587C6A" w:rsidRDefault="00B74D76" w:rsidP="00B74D76">
      <w:pPr>
        <w:widowControl w:val="0"/>
        <w:spacing w:line="360" w:lineRule="exact"/>
        <w:ind w:firstLine="567"/>
        <w:jc w:val="both"/>
        <w:rPr>
          <w:sz w:val="26"/>
          <w:szCs w:val="26"/>
        </w:rPr>
      </w:pPr>
      <w:r w:rsidRPr="00587C6A">
        <w:rPr>
          <w:sz w:val="26"/>
          <w:szCs w:val="26"/>
        </w:rPr>
        <w:t>- Trực tiếp tại Trung tâm Phục vụ hành chính công tỉnh</w:t>
      </w:r>
    </w:p>
    <w:p w:rsidR="00B74D76" w:rsidRPr="00587C6A" w:rsidRDefault="00B74D76" w:rsidP="00B74D76">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B74D76" w:rsidRPr="00587C6A" w:rsidRDefault="00B74D76" w:rsidP="00B74D76">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 Văn bản đề nghị cấp lại Giấy chứng nhận đăng ký đầu tư.</w:t>
      </w:r>
    </w:p>
    <w:p w:rsidR="00B74D76" w:rsidRPr="00587C6A" w:rsidRDefault="00B74D76" w:rsidP="00B74D76">
      <w:pPr>
        <w:widowControl w:val="0"/>
        <w:spacing w:line="360" w:lineRule="exact"/>
        <w:ind w:firstLine="567"/>
        <w:jc w:val="both"/>
        <w:rPr>
          <w:sz w:val="26"/>
          <w:szCs w:val="26"/>
          <w:lang w:val="es-ES"/>
        </w:rPr>
      </w:pPr>
      <w:r w:rsidRPr="00587C6A">
        <w:rPr>
          <w:b/>
          <w:sz w:val="26"/>
          <w:szCs w:val="26"/>
          <w:lang w:val="de-DE"/>
        </w:rPr>
        <w:t>d) Số lượng hồ sơ</w:t>
      </w:r>
      <w:r w:rsidRPr="00587C6A">
        <w:rPr>
          <w:sz w:val="26"/>
          <w:szCs w:val="26"/>
          <w:lang w:val="de-DE"/>
        </w:rPr>
        <w:t xml:space="preserve">: </w:t>
      </w:r>
      <w:r w:rsidRPr="00587C6A">
        <w:rPr>
          <w:sz w:val="26"/>
          <w:szCs w:val="26"/>
          <w:lang w:val="es-ES"/>
        </w:rPr>
        <w:t xml:space="preserve">01 bộ hồ sơ </w:t>
      </w:r>
    </w:p>
    <w:p w:rsidR="00B74D76" w:rsidRPr="00587C6A" w:rsidRDefault="00B74D76" w:rsidP="00B74D76">
      <w:pPr>
        <w:widowControl w:val="0"/>
        <w:overflowPunct w:val="0"/>
        <w:autoSpaceDE w:val="0"/>
        <w:autoSpaceDN w:val="0"/>
        <w:adjustRightInd w:val="0"/>
        <w:spacing w:line="360" w:lineRule="exact"/>
        <w:ind w:firstLine="567"/>
        <w:jc w:val="both"/>
        <w:rPr>
          <w:sz w:val="26"/>
          <w:szCs w:val="26"/>
          <w:lang w:val="es-ES"/>
        </w:rPr>
      </w:pPr>
      <w:r w:rsidRPr="00587C6A">
        <w:rPr>
          <w:b/>
          <w:sz w:val="26"/>
          <w:szCs w:val="26"/>
          <w:lang w:val="de-DE"/>
        </w:rPr>
        <w:t>đ) Thời hạn giải quyết</w:t>
      </w:r>
      <w:r w:rsidRPr="00587C6A">
        <w:rPr>
          <w:sz w:val="26"/>
          <w:szCs w:val="26"/>
          <w:lang w:val="de-DE"/>
        </w:rPr>
        <w:t xml:space="preserve">: </w:t>
      </w:r>
      <w:r w:rsidRPr="00587C6A">
        <w:rPr>
          <w:sz w:val="26"/>
          <w:szCs w:val="26"/>
          <w:lang w:val="es-ES"/>
        </w:rPr>
        <w:t>Trong thời hạn 03 ngày kể từ ngày nhận được đề nghị của nhà đầu tư đối với cấp lại Giấy chứng nhận đăng ký đầu tư.</w:t>
      </w:r>
    </w:p>
    <w:p w:rsidR="00B74D76" w:rsidRPr="00587C6A" w:rsidRDefault="00B74D76" w:rsidP="00B74D76">
      <w:pPr>
        <w:widowControl w:val="0"/>
        <w:spacing w:line="360" w:lineRule="exact"/>
        <w:ind w:firstLine="567"/>
        <w:jc w:val="both"/>
        <w:rPr>
          <w:sz w:val="26"/>
          <w:szCs w:val="26"/>
          <w:lang w:val="es-ES"/>
        </w:rPr>
      </w:pPr>
      <w:r w:rsidRPr="00587C6A">
        <w:rPr>
          <w:b/>
          <w:sz w:val="26"/>
          <w:szCs w:val="26"/>
          <w:lang w:val="de-DE"/>
        </w:rPr>
        <w:t>e) Cơ quan thực hiện</w:t>
      </w:r>
      <w:r w:rsidRPr="00587C6A">
        <w:rPr>
          <w:sz w:val="26"/>
          <w:szCs w:val="26"/>
          <w:lang w:val="de-DE"/>
        </w:rPr>
        <w:t xml:space="preserve">: </w:t>
      </w:r>
      <w:r w:rsidRPr="00587C6A">
        <w:rPr>
          <w:sz w:val="26"/>
          <w:szCs w:val="26"/>
          <w:lang w:val="es-ES"/>
        </w:rPr>
        <w:t>Sở Kế hoạch và Đầu tư</w:t>
      </w:r>
    </w:p>
    <w:p w:rsidR="00B74D76" w:rsidRPr="00587C6A" w:rsidRDefault="00B74D76" w:rsidP="00B74D76">
      <w:pPr>
        <w:widowControl w:val="0"/>
        <w:spacing w:line="360" w:lineRule="exact"/>
        <w:ind w:firstLine="567"/>
        <w:jc w:val="both"/>
        <w:rPr>
          <w:rFonts w:eastAsia="Calibri"/>
          <w:sz w:val="26"/>
          <w:szCs w:val="26"/>
          <w:lang w:val="de-DE"/>
        </w:rPr>
      </w:pPr>
      <w:r w:rsidRPr="00587C6A">
        <w:rPr>
          <w:b/>
          <w:sz w:val="26"/>
          <w:szCs w:val="26"/>
          <w:lang w:val="de-DE"/>
        </w:rPr>
        <w:t>g) Đối tượng thực hiện thủ tục hành chính</w:t>
      </w:r>
      <w:r w:rsidRPr="00587C6A">
        <w:rPr>
          <w:sz w:val="26"/>
          <w:szCs w:val="26"/>
          <w:lang w:val="de-DE"/>
        </w:rPr>
        <w:t>: Nhà đầu tư (cá nhân và tổ chức)</w:t>
      </w:r>
    </w:p>
    <w:p w:rsidR="00B74D76" w:rsidRPr="00587C6A" w:rsidRDefault="00B74D76" w:rsidP="00B74D76">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 xml:space="preserve">: Giấy chứng nhận đăng ký đầu tư (cấp lại) theo Mẫu II.2 ban hành kèm theo Thông tư số 16/2015/TT-BKHĐT. </w:t>
      </w:r>
    </w:p>
    <w:p w:rsidR="00B74D76" w:rsidRPr="00587C6A" w:rsidRDefault="00B74D76" w:rsidP="00B74D76">
      <w:pPr>
        <w:widowControl w:val="0"/>
        <w:spacing w:line="360" w:lineRule="exact"/>
        <w:ind w:firstLine="567"/>
        <w:jc w:val="both"/>
        <w:rPr>
          <w:rFonts w:eastAsia="Calibri"/>
          <w:sz w:val="26"/>
          <w:szCs w:val="26"/>
          <w:lang w:val="de-DE"/>
        </w:rPr>
      </w:pPr>
      <w:r w:rsidRPr="00587C6A">
        <w:rPr>
          <w:b/>
          <w:sz w:val="26"/>
          <w:szCs w:val="26"/>
          <w:lang w:val="de-DE"/>
        </w:rPr>
        <w:t>i) Lệ phí</w:t>
      </w:r>
      <w:r w:rsidRPr="00587C6A">
        <w:rPr>
          <w:sz w:val="26"/>
          <w:szCs w:val="26"/>
          <w:lang w:val="de-DE"/>
        </w:rPr>
        <w:t>: Không</w:t>
      </w:r>
    </w:p>
    <w:p w:rsidR="00B74D76" w:rsidRPr="00587C6A" w:rsidRDefault="00B74D76" w:rsidP="00B74D76">
      <w:pPr>
        <w:widowControl w:val="0"/>
        <w:spacing w:line="360" w:lineRule="exact"/>
        <w:ind w:firstLine="567"/>
        <w:jc w:val="both"/>
        <w:rPr>
          <w:sz w:val="26"/>
          <w:szCs w:val="26"/>
          <w:lang w:val="de-DE"/>
        </w:rPr>
      </w:pPr>
      <w:r w:rsidRPr="00587C6A">
        <w:rPr>
          <w:b/>
          <w:sz w:val="26"/>
          <w:szCs w:val="26"/>
          <w:lang w:val="de-DE"/>
        </w:rPr>
        <w:t xml:space="preserve">k) Tên mẫu đơn, mẫu tờ khai: </w:t>
      </w:r>
      <w:r w:rsidRPr="00587C6A">
        <w:rPr>
          <w:sz w:val="26"/>
          <w:szCs w:val="26"/>
          <w:lang w:val="de-DE"/>
        </w:rPr>
        <w:t>Không</w:t>
      </w:r>
    </w:p>
    <w:p w:rsidR="00B74D76" w:rsidRPr="00587C6A" w:rsidRDefault="00B74D76" w:rsidP="00B74D76">
      <w:pPr>
        <w:widowControl w:val="0"/>
        <w:spacing w:line="360" w:lineRule="exact"/>
        <w:ind w:firstLine="567"/>
        <w:jc w:val="both"/>
        <w:rPr>
          <w:sz w:val="26"/>
          <w:szCs w:val="26"/>
          <w:lang w:val="de-DE"/>
        </w:rPr>
      </w:pPr>
      <w:r w:rsidRPr="00587C6A">
        <w:rPr>
          <w:b/>
          <w:sz w:val="26"/>
          <w:szCs w:val="26"/>
          <w:lang w:val="de-DE"/>
        </w:rPr>
        <w:t>l)Yêu cầu, điều kiện thực hiện thủ tục</w:t>
      </w:r>
      <w:r w:rsidRPr="00587C6A">
        <w:rPr>
          <w:sz w:val="26"/>
          <w:szCs w:val="26"/>
          <w:lang w:val="de-DE"/>
        </w:rPr>
        <w:t>: Nhà đầu tư bị mất hoặc hỏng Giấy chứng nhận đăng ký đầu tư</w:t>
      </w:r>
    </w:p>
    <w:p w:rsidR="00B74D76" w:rsidRPr="00587C6A" w:rsidRDefault="00B74D76" w:rsidP="00B74D76">
      <w:pPr>
        <w:widowControl w:val="0"/>
        <w:spacing w:line="360" w:lineRule="exact"/>
        <w:ind w:firstLine="567"/>
        <w:jc w:val="both"/>
        <w:rPr>
          <w:sz w:val="26"/>
          <w:szCs w:val="26"/>
          <w:lang w:val="de-DE"/>
        </w:rPr>
      </w:pPr>
      <w:r w:rsidRPr="00587C6A">
        <w:rPr>
          <w:b/>
          <w:sz w:val="26"/>
          <w:szCs w:val="26"/>
          <w:lang w:val="de-DE"/>
        </w:rPr>
        <w:t>m) Căn cứ pháp lý của thủ tục hành chính</w:t>
      </w:r>
      <w:r w:rsidRPr="00587C6A">
        <w:rPr>
          <w:sz w:val="26"/>
          <w:szCs w:val="26"/>
          <w:lang w:val="de-DE"/>
        </w:rPr>
        <w:t>:</w:t>
      </w:r>
    </w:p>
    <w:p w:rsidR="00B74D76" w:rsidRPr="00587C6A" w:rsidRDefault="00B74D76" w:rsidP="00B74D76">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B74D76" w:rsidRPr="00587C6A" w:rsidRDefault="00B74D76" w:rsidP="00B74D76">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B74D76" w:rsidRPr="00587C6A" w:rsidRDefault="00B74D76" w:rsidP="00B74D76">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B74D76" w:rsidRPr="00587C6A" w:rsidRDefault="00B74D76" w:rsidP="00B74D76">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76"/>
    <w:rsid w:val="0016442C"/>
    <w:rsid w:val="001F1BFE"/>
    <w:rsid w:val="00A17D9F"/>
    <w:rsid w:val="00B74D76"/>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2020-07-24T02:08:00Z</dcterms:created>
  <dcterms:modified xsi:type="dcterms:W3CDTF">2020-07-24T02:08:00Z</dcterms:modified>
</cp:coreProperties>
</file>